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1E" w:rsidRPr="00B0221E" w:rsidRDefault="00B0221E" w:rsidP="00B0221E">
      <w:pPr>
        <w:spacing w:after="120"/>
        <w:ind w:firstLine="709"/>
        <w:jc w:val="both"/>
        <w:rPr>
          <w:rFonts w:ascii="Consolas" w:eastAsia="Calibri" w:hAnsi="Consolas" w:cs="Consolas"/>
          <w:sz w:val="24"/>
          <w:szCs w:val="24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 xml:space="preserve">Техническа спецификация за </w:t>
      </w:r>
      <w:bookmarkStart w:id="0" w:name="_GoBack"/>
      <w:bookmarkEnd w:id="0"/>
      <w:r w:rsidRPr="00B0221E">
        <w:rPr>
          <w:rFonts w:ascii="Consolas" w:eastAsia="Times New Roman" w:hAnsi="Consolas" w:cs="Consolas"/>
          <w:b/>
          <w:sz w:val="24"/>
          <w:szCs w:val="24"/>
          <w:lang w:eastAsia="bg-BG"/>
        </w:rPr>
        <w:t xml:space="preserve">Обособена позиция 2 - „Провеждане на обучителни семинари по „меки умения“ за служители на ръководни и експертни позиции на Община Русе“ </w:t>
      </w:r>
      <w:r w:rsidRPr="00B0221E">
        <w:rPr>
          <w:rFonts w:ascii="Consolas" w:eastAsia="Times New Roman" w:hAnsi="Consolas" w:cs="Consolas"/>
          <w:sz w:val="24"/>
          <w:szCs w:val="24"/>
          <w:lang w:eastAsia="bg-BG"/>
        </w:rPr>
        <w:t xml:space="preserve">– в рамките на тази позиция следва </w:t>
      </w:r>
      <w:r w:rsidRPr="00B0221E">
        <w:rPr>
          <w:rFonts w:ascii="Consolas" w:eastAsia="Calibri" w:hAnsi="Consolas" w:cs="Consolas"/>
          <w:sz w:val="24"/>
          <w:szCs w:val="24"/>
        </w:rPr>
        <w:t>да бъдат организирани и проведени следните обучителни семинари:</w:t>
      </w: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lang w:eastAsia="bg-BG"/>
        </w:rPr>
        <w:t>Тридневен обучителен семинар за служители на експертни позиции. Семинарът трябва да е с продължителност 16 учебни часа и да се проведе на 2 пъти, с по максимум 50 души, разпределени в до 3 групи. Обученията трябва да включват следните направления като всяка от групите следва да премине обучение и през 3-те направления в рамките</w:t>
      </w:r>
      <w:r w:rsidRPr="00B0221E">
        <w:rPr>
          <w:rFonts w:ascii="Consolas" w:eastAsia="Calibri" w:hAnsi="Consolas" w:cs="Consolas"/>
          <w:sz w:val="24"/>
          <w:szCs w:val="24"/>
        </w:rPr>
        <w:t xml:space="preserve"> на тези 3 дни: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lang w:eastAsia="bg-BG"/>
        </w:rPr>
      </w:pPr>
      <w:r w:rsidRPr="00B0221E">
        <w:rPr>
          <w:rFonts w:ascii="Consolas" w:eastAsia="Calibri" w:hAnsi="Consolas" w:cs="Consolas"/>
          <w:sz w:val="24"/>
          <w:lang w:eastAsia="bg-BG"/>
        </w:rPr>
        <w:t>Организационна култура и комуникация;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lang w:eastAsia="bg-BG"/>
        </w:rPr>
      </w:pPr>
      <w:r w:rsidRPr="00B0221E">
        <w:rPr>
          <w:rFonts w:ascii="Consolas" w:eastAsia="Calibri" w:hAnsi="Consolas" w:cs="Consolas"/>
          <w:sz w:val="24"/>
          <w:lang w:eastAsia="bg-BG"/>
        </w:rPr>
        <w:t>Презентационни умения;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lang w:eastAsia="bg-BG"/>
        </w:rPr>
        <w:t>Умения</w:t>
      </w:r>
      <w:r w:rsidRPr="00B0221E">
        <w:rPr>
          <w:rFonts w:ascii="Consolas" w:eastAsia="Calibri" w:hAnsi="Consolas" w:cs="Consolas"/>
          <w:sz w:val="24"/>
          <w:szCs w:val="24"/>
        </w:rPr>
        <w:t xml:space="preserve"> за работа в екип. </w:t>
      </w: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lang w:eastAsia="bg-BG"/>
        </w:rPr>
        <w:t>Тридневен</w:t>
      </w:r>
      <w:r w:rsidRPr="00B0221E">
        <w:rPr>
          <w:rFonts w:ascii="Consolas" w:eastAsia="Calibri" w:hAnsi="Consolas" w:cs="Consolas"/>
          <w:sz w:val="24"/>
          <w:szCs w:val="24"/>
        </w:rPr>
        <w:t xml:space="preserve"> обучителен семинар за служители на ръководни позиции. Семинарът трябва да е с продължителност 16 учебни часа и да се проведе на 2 пъти, с по максимум 20 души. Обученията следва да включват следните направления: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>Успешният екип – създаване, мотивиране, развитие;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>Лидерство и адаптивност;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Times New Roman" w:hAnsi="Consolas" w:cs="Consolas"/>
          <w:sz w:val="24"/>
          <w:szCs w:val="24"/>
          <w:lang w:eastAsia="bg-BG"/>
        </w:rPr>
      </w:pPr>
      <w:r w:rsidRPr="00B0221E">
        <w:rPr>
          <w:rFonts w:ascii="Consolas" w:eastAsia="Calibri" w:hAnsi="Consolas" w:cs="Consolas"/>
          <w:sz w:val="24"/>
          <w:szCs w:val="24"/>
        </w:rPr>
        <w:t>Водене</w:t>
      </w:r>
      <w:r w:rsidRPr="00B0221E">
        <w:rPr>
          <w:rFonts w:ascii="Consolas" w:eastAsia="Times New Roman" w:hAnsi="Consolas" w:cs="Consolas"/>
          <w:snapToGrid w:val="0"/>
          <w:sz w:val="24"/>
          <w:szCs w:val="24"/>
        </w:rPr>
        <w:t xml:space="preserve"> на преговори и справяне с конфликти.</w:t>
      </w: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Times New Roman" w:hAnsi="Consolas" w:cs="Consolas"/>
          <w:snapToGrid w:val="0"/>
          <w:sz w:val="24"/>
          <w:szCs w:val="24"/>
        </w:rPr>
      </w:pPr>
      <w:r w:rsidRPr="00B0221E">
        <w:rPr>
          <w:rFonts w:ascii="Consolas" w:eastAsia="Times New Roman" w:hAnsi="Consolas" w:cs="Consolas"/>
          <w:snapToGrid w:val="0"/>
          <w:sz w:val="24"/>
          <w:szCs w:val="24"/>
        </w:rPr>
        <w:t xml:space="preserve">Участниците следва да представят за всеки един от семинарите </w:t>
      </w:r>
      <w:r w:rsidRPr="00B0221E">
        <w:rPr>
          <w:rFonts w:ascii="Consolas" w:eastAsia="Times New Roman" w:hAnsi="Consolas" w:cs="Consolas"/>
          <w:b/>
          <w:snapToGrid w:val="0"/>
          <w:sz w:val="24"/>
          <w:szCs w:val="24"/>
        </w:rPr>
        <w:t>програма</w:t>
      </w:r>
      <w:r w:rsidRPr="00B0221E">
        <w:rPr>
          <w:rFonts w:ascii="Consolas" w:eastAsia="Times New Roman" w:hAnsi="Consolas" w:cs="Consolas"/>
          <w:snapToGrid w:val="0"/>
          <w:sz w:val="24"/>
          <w:szCs w:val="24"/>
        </w:rPr>
        <w:t xml:space="preserve"> за тяхното провеждане. Обученията на служителите трябва да се проведат в подходяща база на територията на Република България, като изпълнителят в рамките на поръчката трябва да осигури: 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 xml:space="preserve">Настаняване на участниците в хотел с категория минимум 3 звезди или </w:t>
      </w:r>
      <w:proofErr w:type="spellStart"/>
      <w:r w:rsidRPr="00B0221E">
        <w:rPr>
          <w:rFonts w:ascii="Consolas" w:eastAsia="Calibri" w:hAnsi="Consolas" w:cs="Consolas"/>
          <w:sz w:val="24"/>
          <w:szCs w:val="24"/>
        </w:rPr>
        <w:t>еквивалетно</w:t>
      </w:r>
      <w:proofErr w:type="spellEnd"/>
      <w:r w:rsidRPr="00B0221E">
        <w:rPr>
          <w:rFonts w:ascii="Consolas" w:eastAsia="Calibri" w:hAnsi="Consolas" w:cs="Consolas"/>
          <w:sz w:val="24"/>
          <w:szCs w:val="24"/>
        </w:rPr>
        <w:t xml:space="preserve"> за период от 3 дни/2 нощувки, като хотелът да е в радиус до 150 км. от гр. Русе; Осигуряване на пълен </w:t>
      </w:r>
      <w:proofErr w:type="spellStart"/>
      <w:r w:rsidRPr="00B0221E">
        <w:rPr>
          <w:rFonts w:ascii="Consolas" w:eastAsia="Calibri" w:hAnsi="Consolas" w:cs="Consolas"/>
          <w:sz w:val="24"/>
          <w:szCs w:val="24"/>
        </w:rPr>
        <w:t>храноден</w:t>
      </w:r>
      <w:proofErr w:type="spellEnd"/>
      <w:r w:rsidRPr="00B0221E">
        <w:rPr>
          <w:rFonts w:ascii="Consolas" w:eastAsia="Calibri" w:hAnsi="Consolas" w:cs="Consolas"/>
          <w:sz w:val="24"/>
          <w:szCs w:val="24"/>
        </w:rPr>
        <w:t xml:space="preserve"> за участниците – общо 2 закуски, 3 обяда и 2 вечери на човек, както и общо 4 кафе паузи;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>Транспорт на обучаващите се от гр. Русе до хотела и обратно - Превозните средства следва да отговарят на техническите изисквания съгласно българското и международно законодателство за транспортна годност и да е включена застраховка;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 xml:space="preserve">Три броя зали за провеждане на обученията, които да са с капацитет над 20 души и участниците да гарантират осигуряването и обслужването на техническо оборудване за провеждане на семинарите – екран, мултимедия, озвучителна уредба, дискусионни микрофони, </w:t>
      </w:r>
      <w:proofErr w:type="spellStart"/>
      <w:r w:rsidRPr="00B0221E">
        <w:rPr>
          <w:rFonts w:ascii="Consolas" w:eastAsia="Calibri" w:hAnsi="Consolas" w:cs="Consolas"/>
          <w:sz w:val="24"/>
          <w:szCs w:val="24"/>
        </w:rPr>
        <w:t>флип</w:t>
      </w:r>
      <w:proofErr w:type="spellEnd"/>
      <w:r w:rsidRPr="00B0221E">
        <w:rPr>
          <w:rFonts w:ascii="Consolas" w:eastAsia="Calibri" w:hAnsi="Consolas" w:cs="Consolas"/>
          <w:sz w:val="24"/>
          <w:szCs w:val="24"/>
        </w:rPr>
        <w:t xml:space="preserve"> </w:t>
      </w:r>
      <w:proofErr w:type="spellStart"/>
      <w:r w:rsidRPr="00B0221E">
        <w:rPr>
          <w:rFonts w:ascii="Consolas" w:eastAsia="Calibri" w:hAnsi="Consolas" w:cs="Consolas"/>
          <w:sz w:val="24"/>
          <w:szCs w:val="24"/>
        </w:rPr>
        <w:t>чарт</w:t>
      </w:r>
      <w:proofErr w:type="spellEnd"/>
      <w:r w:rsidRPr="00B0221E">
        <w:rPr>
          <w:rFonts w:ascii="Consolas" w:eastAsia="Calibri" w:hAnsi="Consolas" w:cs="Consolas"/>
          <w:sz w:val="24"/>
          <w:szCs w:val="24"/>
        </w:rPr>
        <w:t xml:space="preserve"> и др. Когато изпълнителят предвижда залите за провеждане на обученията </w:t>
      </w:r>
      <w:r w:rsidRPr="00B0221E">
        <w:rPr>
          <w:rFonts w:ascii="Consolas" w:eastAsia="Calibri" w:hAnsi="Consolas" w:cs="Consolas"/>
          <w:sz w:val="24"/>
          <w:szCs w:val="24"/>
        </w:rPr>
        <w:lastRenderedPageBreak/>
        <w:t>да са извън хотелите, транспортното обезпечаване на участниците до залите е за сметка на изпълнителя;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 xml:space="preserve">Разработване на подробно разписана програма/план за провеждане на обученията; 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>Подготовка на учебни материали и презентации за провеждане на обучението и отпечатването им за участниците в обученията след одобрение от Възложителя;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>Разпределение на учебните материали между всички участници;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>Попълване на списъци на присъстващите, на получилите материали и на анкетна карта относно качеството на проведеното обучение от всеки участник;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 xml:space="preserve">Лектори за провеждане на обученията съгласно програмата; 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>Осигуряване на снимков материал от обученията;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>Осигуряване на информация и публичност чрез спазване на съответните изисквания на Оперативна програма „Административен капацитет“;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Calibri" w:hAnsi="Consolas" w:cs="Consolas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>Издаване на сертификати на служителите, които са преминали обучението;</w:t>
      </w:r>
    </w:p>
    <w:p w:rsidR="00B0221E" w:rsidRPr="00B0221E" w:rsidRDefault="00B0221E" w:rsidP="00B0221E">
      <w:pPr>
        <w:numPr>
          <w:ilvl w:val="0"/>
          <w:numId w:val="1"/>
        </w:numPr>
        <w:spacing w:after="120"/>
        <w:contextualSpacing/>
        <w:jc w:val="both"/>
        <w:rPr>
          <w:rFonts w:ascii="Consolas" w:eastAsia="Times New Roman" w:hAnsi="Consolas" w:cs="Consolas"/>
          <w:snapToGrid w:val="0"/>
          <w:sz w:val="24"/>
          <w:szCs w:val="24"/>
        </w:rPr>
      </w:pPr>
      <w:r w:rsidRPr="00B0221E">
        <w:rPr>
          <w:rFonts w:ascii="Consolas" w:eastAsia="Calibri" w:hAnsi="Consolas" w:cs="Consolas"/>
          <w:sz w:val="24"/>
          <w:szCs w:val="24"/>
        </w:rPr>
        <w:t>Извършване на оценка на проведените обучения на база попълнените</w:t>
      </w:r>
      <w:r w:rsidRPr="00B0221E">
        <w:rPr>
          <w:rFonts w:ascii="Consolas" w:eastAsia="Times New Roman" w:hAnsi="Consolas" w:cs="Consolas"/>
          <w:sz w:val="24"/>
          <w:szCs w:val="24"/>
          <w:lang w:eastAsia="bg-BG"/>
        </w:rPr>
        <w:t xml:space="preserve"> анкети и оформяне на доклад до Възложителя.</w:t>
      </w: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Times New Roman" w:hAnsi="Consolas" w:cs="Consolas"/>
          <w:snapToGrid w:val="0"/>
          <w:sz w:val="24"/>
          <w:szCs w:val="24"/>
          <w:lang w:eastAsia="bg-BG"/>
        </w:rPr>
      </w:pPr>
      <w:r w:rsidRPr="00B0221E">
        <w:rPr>
          <w:rFonts w:ascii="Consolas" w:eastAsia="Times New Roman" w:hAnsi="Consolas" w:cs="Consolas"/>
          <w:snapToGrid w:val="0"/>
          <w:sz w:val="24"/>
          <w:szCs w:val="24"/>
          <w:lang w:eastAsia="bg-BG"/>
        </w:rPr>
        <w:t xml:space="preserve">Желаният резултат от проведеното обучение е служителите да придобият знания за екипна работа и развиване на комуникативни умения, с които да повишат ефективността на административното обслужване и като цяло работата в общината. </w:t>
      </w:r>
      <w:r w:rsidRPr="00B0221E">
        <w:rPr>
          <w:rFonts w:ascii="Consolas" w:eastAsia="Times New Roman" w:hAnsi="Consolas" w:cs="Consolas"/>
          <w:sz w:val="24"/>
          <w:szCs w:val="24"/>
          <w:lang w:eastAsia="bg-BG"/>
        </w:rPr>
        <w:t>П</w:t>
      </w:r>
      <w:r w:rsidRPr="00B0221E">
        <w:rPr>
          <w:rFonts w:ascii="Consolas" w:eastAsia="Times New Roman" w:hAnsi="Consolas" w:cs="Consolas"/>
          <w:snapToGrid w:val="0"/>
          <w:sz w:val="24"/>
          <w:szCs w:val="24"/>
          <w:lang w:eastAsia="bg-BG"/>
        </w:rPr>
        <w:t>редпочитаният метод за провеждане е интерактивен, съобразен с принципите на неформалното учене, предимно с групови дискусии, казуси, практически задачи и ролеви игри.</w:t>
      </w: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Times New Roman" w:hAnsi="Consolas" w:cs="Consolas"/>
          <w:snapToGrid w:val="0"/>
          <w:sz w:val="24"/>
          <w:szCs w:val="24"/>
          <w:lang w:eastAsia="bg-BG"/>
        </w:rPr>
      </w:pPr>
      <w:r w:rsidRPr="00B0221E">
        <w:rPr>
          <w:rFonts w:ascii="Consolas" w:eastAsia="Times New Roman" w:hAnsi="Consolas" w:cs="Consolas"/>
          <w:snapToGrid w:val="0"/>
          <w:sz w:val="24"/>
          <w:szCs w:val="24"/>
        </w:rPr>
        <w:t xml:space="preserve">Основни параметри на обособена позиция 2, </w:t>
      </w:r>
      <w:r w:rsidRPr="00B0221E">
        <w:rPr>
          <w:rFonts w:ascii="Consolas" w:eastAsia="Calibri" w:hAnsi="Consolas" w:cs="Consolas"/>
          <w:sz w:val="24"/>
          <w:szCs w:val="24"/>
        </w:rPr>
        <w:t>служители на експертни позиции</w:t>
      </w:r>
      <w:r w:rsidRPr="00B0221E">
        <w:rPr>
          <w:rFonts w:ascii="Consolas" w:eastAsia="Times New Roman" w:hAnsi="Consolas" w:cs="Consolas"/>
          <w:snapToGrid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707"/>
      </w:tblGrid>
      <w:tr w:rsidR="00B0221E" w:rsidRPr="00B0221E" w:rsidTr="003E55E3">
        <w:tc>
          <w:tcPr>
            <w:tcW w:w="2634" w:type="dxa"/>
            <w:shd w:val="clear" w:color="auto" w:fill="8DB3E2" w:themeFill="text2" w:themeFillTint="66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t>ПОКАЗАТЕЛ</w:t>
            </w:r>
          </w:p>
        </w:tc>
        <w:tc>
          <w:tcPr>
            <w:tcW w:w="7345" w:type="dxa"/>
            <w:shd w:val="clear" w:color="auto" w:fill="8DB3E2" w:themeFill="text2" w:themeFillTint="66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t>ИНДИКАТОР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t>Служители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snapToGrid w:val="0"/>
                <w:sz w:val="24"/>
                <w:szCs w:val="24"/>
                <w:lang w:val="en-US"/>
              </w:rPr>
              <w:t xml:space="preserve">100 </w:t>
            </w:r>
            <w:r w:rsidRPr="00B0221E"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  <w:t>броя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t>Семинари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  <w:t>2 броя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t>Участници в 1 семинар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  <w:t>50 участника в един семинар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t>Групи на 1 семинар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  <w:t>3 броя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t>Продължителност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  <w:t>3 дни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lastRenderedPageBreak/>
              <w:t>Учебни часове за 1 семинар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  <w:t>16 учебни часа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t>Място на провеждане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snapToGrid w:val="0"/>
                <w:sz w:val="24"/>
                <w:szCs w:val="24"/>
              </w:rPr>
            </w:pPr>
            <w:r w:rsidRPr="00B0221E">
              <w:rPr>
                <w:rFonts w:ascii="Consolas" w:eastAsia="Calibri" w:hAnsi="Consolas" w:cs="Consolas"/>
                <w:sz w:val="24"/>
                <w:szCs w:val="24"/>
              </w:rPr>
              <w:t>В радиус до 150 км. от гр. Русе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t>Теми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Times New Roman" w:hAnsi="Consolas" w:cs="Consolas"/>
                <w:sz w:val="24"/>
                <w:szCs w:val="24"/>
                <w:lang w:eastAsia="bg-BG"/>
              </w:rPr>
              <w:t>Организационна култура и комуникация;</w:t>
            </w:r>
          </w:p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Times New Roman" w:hAnsi="Consolas" w:cs="Consolas"/>
                <w:sz w:val="24"/>
                <w:szCs w:val="24"/>
                <w:lang w:eastAsia="bg-BG"/>
              </w:rPr>
              <w:t>Презентационни умения;</w:t>
            </w:r>
          </w:p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Calibri" w:hAnsi="Consolas" w:cs="Consolas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sz w:val="24"/>
                <w:szCs w:val="24"/>
                <w:lang w:eastAsia="bg-BG"/>
              </w:rPr>
              <w:t>Умения</w:t>
            </w:r>
            <w:r w:rsidRPr="00B0221E">
              <w:rPr>
                <w:rFonts w:ascii="Consolas" w:eastAsia="Calibri" w:hAnsi="Consolas" w:cs="Consolas"/>
                <w:sz w:val="24"/>
                <w:szCs w:val="24"/>
              </w:rPr>
              <w:t xml:space="preserve"> за работа в екип. </w:t>
            </w:r>
          </w:p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Calibri" w:hAnsi="Consolas" w:cs="Consolas"/>
                <w:i/>
                <w:sz w:val="24"/>
                <w:szCs w:val="24"/>
              </w:rPr>
            </w:pPr>
            <w:r w:rsidRPr="00B0221E">
              <w:rPr>
                <w:rFonts w:ascii="Consolas" w:eastAsia="Calibri" w:hAnsi="Consolas" w:cs="Consolas"/>
                <w:i/>
                <w:sz w:val="20"/>
                <w:szCs w:val="24"/>
              </w:rPr>
              <w:t>Забележка: В</w:t>
            </w:r>
            <w:r w:rsidRPr="00B0221E">
              <w:rPr>
                <w:rFonts w:ascii="Consolas" w:eastAsia="Calibri" w:hAnsi="Consolas" w:cs="Consolas"/>
                <w:i/>
                <w:sz w:val="24"/>
                <w:szCs w:val="24"/>
              </w:rPr>
              <w:t>сяка от групите следва да премине обучение и през 3-те направления в рамките на трите дни, през които продължава обучението.</w:t>
            </w:r>
          </w:p>
        </w:tc>
      </w:tr>
    </w:tbl>
    <w:p w:rsidR="00B0221E" w:rsidRPr="00B0221E" w:rsidRDefault="00B0221E" w:rsidP="00B0221E">
      <w:pPr>
        <w:spacing w:after="120"/>
        <w:ind w:firstLine="709"/>
        <w:jc w:val="both"/>
        <w:rPr>
          <w:rFonts w:ascii="Consolas" w:eastAsia="Times New Roman" w:hAnsi="Consolas" w:cs="Consolas"/>
          <w:snapToGrid w:val="0"/>
          <w:sz w:val="24"/>
          <w:szCs w:val="24"/>
        </w:rPr>
      </w:pP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Verdana" w:hAnsi="Consolas" w:cs="Consolas"/>
          <w:sz w:val="24"/>
          <w:szCs w:val="24"/>
          <w:lang w:eastAsia="bg-BG"/>
        </w:rPr>
      </w:pPr>
      <w:r w:rsidRPr="00B0221E">
        <w:rPr>
          <w:rFonts w:ascii="Consolas" w:eastAsia="Verdana" w:hAnsi="Consolas" w:cs="Consolas"/>
          <w:sz w:val="24"/>
          <w:szCs w:val="24"/>
          <w:lang w:eastAsia="bg-BG"/>
        </w:rPr>
        <w:t>Основни параметри на обособена позиция 2, служители на ръководни позиции: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705"/>
      </w:tblGrid>
      <w:tr w:rsidR="00B0221E" w:rsidRPr="00B0221E" w:rsidTr="003E55E3">
        <w:tc>
          <w:tcPr>
            <w:tcW w:w="2634" w:type="dxa"/>
            <w:shd w:val="clear" w:color="auto" w:fill="8DB3E2" w:themeFill="text2" w:themeFillTint="66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t>ПОКАЗАТЕЛ</w:t>
            </w:r>
          </w:p>
        </w:tc>
        <w:tc>
          <w:tcPr>
            <w:tcW w:w="7345" w:type="dxa"/>
            <w:shd w:val="clear" w:color="auto" w:fill="8DB3E2" w:themeFill="text2" w:themeFillTint="66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</w:pPr>
            <w:r w:rsidRPr="00B0221E">
              <w:rPr>
                <w:rFonts w:ascii="Consolas" w:eastAsia="Times New Roman" w:hAnsi="Consolas" w:cs="Consolas"/>
                <w:b/>
                <w:snapToGrid w:val="0"/>
                <w:sz w:val="24"/>
                <w:szCs w:val="24"/>
              </w:rPr>
              <w:t>ИНДИКАТОР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  <w:t>Служители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sz w:val="24"/>
                <w:szCs w:val="24"/>
                <w:lang w:eastAsia="bg-BG"/>
              </w:rPr>
              <w:t>40</w:t>
            </w:r>
            <w:r w:rsidRPr="00B0221E">
              <w:rPr>
                <w:rFonts w:ascii="Consolas" w:eastAsia="Verdana" w:hAnsi="Consolas" w:cs="Consolas"/>
                <w:sz w:val="24"/>
                <w:szCs w:val="24"/>
                <w:lang w:val="en-US" w:eastAsia="bg-BG"/>
              </w:rPr>
              <w:t xml:space="preserve"> </w:t>
            </w:r>
            <w:r w:rsidRPr="00B0221E">
              <w:rPr>
                <w:rFonts w:ascii="Consolas" w:eastAsia="Verdana" w:hAnsi="Consolas" w:cs="Consolas"/>
                <w:sz w:val="24"/>
                <w:szCs w:val="24"/>
                <w:lang w:eastAsia="bg-BG"/>
              </w:rPr>
              <w:t>броя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  <w:t>Семинари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sz w:val="24"/>
                <w:szCs w:val="24"/>
                <w:lang w:eastAsia="bg-BG"/>
              </w:rPr>
              <w:t>2 броя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  <w:t>Участници в 1 семинар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sz w:val="24"/>
                <w:szCs w:val="24"/>
                <w:lang w:eastAsia="bg-BG"/>
              </w:rPr>
              <w:t>20 участника в един семинар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  <w:t>Продължителност на 1 семинар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sz w:val="24"/>
                <w:szCs w:val="24"/>
                <w:lang w:eastAsia="bg-BG"/>
              </w:rPr>
              <w:t>3 дни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  <w:t>Учебни часове за 1 семинар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sz w:val="24"/>
                <w:szCs w:val="24"/>
                <w:lang w:eastAsia="bg-BG"/>
              </w:rPr>
              <w:t>16 учебни часа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  <w:t>Място на провеждане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sz w:val="24"/>
                <w:szCs w:val="24"/>
                <w:lang w:eastAsia="bg-BG"/>
              </w:rPr>
              <w:t>В радиус до 150 км. от гр. Русе</w:t>
            </w:r>
          </w:p>
        </w:tc>
      </w:tr>
      <w:tr w:rsidR="00B0221E" w:rsidRPr="00B0221E" w:rsidTr="003E55E3">
        <w:tc>
          <w:tcPr>
            <w:tcW w:w="2634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Verdana" w:hAnsi="Consolas" w:cs="Consolas"/>
                <w:b/>
                <w:sz w:val="24"/>
                <w:szCs w:val="24"/>
                <w:lang w:eastAsia="bg-BG"/>
              </w:rPr>
              <w:t>Теми</w:t>
            </w:r>
          </w:p>
        </w:tc>
        <w:tc>
          <w:tcPr>
            <w:tcW w:w="7345" w:type="dxa"/>
            <w:shd w:val="clear" w:color="auto" w:fill="auto"/>
          </w:tcPr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Times New Roman" w:hAnsi="Consolas" w:cs="Consolas"/>
                <w:sz w:val="24"/>
                <w:szCs w:val="24"/>
                <w:lang w:eastAsia="bg-BG"/>
              </w:rPr>
              <w:t>Успешният екип – създаване, мотивиране, развитие;</w:t>
            </w:r>
          </w:p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Times New Roman" w:hAnsi="Consolas" w:cs="Consolas"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Times New Roman" w:hAnsi="Consolas" w:cs="Consolas"/>
                <w:sz w:val="24"/>
                <w:szCs w:val="24"/>
                <w:lang w:eastAsia="bg-BG"/>
              </w:rPr>
              <w:t>Лидерство и адаптивност;</w:t>
            </w:r>
          </w:p>
          <w:p w:rsidR="00B0221E" w:rsidRPr="00B0221E" w:rsidRDefault="00B0221E" w:rsidP="00B0221E">
            <w:pPr>
              <w:spacing w:after="120"/>
              <w:ind w:firstLine="709"/>
              <w:jc w:val="both"/>
              <w:rPr>
                <w:rFonts w:ascii="Consolas" w:eastAsia="Verdana" w:hAnsi="Consolas" w:cs="Consolas"/>
                <w:i/>
                <w:sz w:val="24"/>
                <w:szCs w:val="24"/>
                <w:lang w:eastAsia="bg-BG"/>
              </w:rPr>
            </w:pPr>
            <w:r w:rsidRPr="00B0221E">
              <w:rPr>
                <w:rFonts w:ascii="Consolas" w:eastAsia="Times New Roman" w:hAnsi="Consolas" w:cs="Consolas"/>
                <w:sz w:val="24"/>
                <w:szCs w:val="24"/>
                <w:lang w:eastAsia="bg-BG"/>
              </w:rPr>
              <w:t>Водене</w:t>
            </w:r>
            <w:r w:rsidRPr="00B0221E">
              <w:rPr>
                <w:rFonts w:ascii="Consolas" w:eastAsia="Verdana" w:hAnsi="Consolas" w:cs="Consolas"/>
                <w:sz w:val="24"/>
                <w:szCs w:val="24"/>
                <w:lang w:eastAsia="bg-BG"/>
              </w:rPr>
              <w:t xml:space="preserve"> на преговори и справяне с конфликти.</w:t>
            </w:r>
          </w:p>
        </w:tc>
      </w:tr>
    </w:tbl>
    <w:p w:rsidR="00B0221E" w:rsidRPr="00B0221E" w:rsidRDefault="00B0221E" w:rsidP="00B0221E">
      <w:pPr>
        <w:spacing w:after="120"/>
        <w:ind w:firstLine="709"/>
        <w:jc w:val="both"/>
        <w:rPr>
          <w:rFonts w:ascii="Consolas" w:eastAsia="Verdana" w:hAnsi="Consolas" w:cs="Consolas"/>
          <w:sz w:val="24"/>
          <w:szCs w:val="24"/>
          <w:lang w:eastAsia="bg-BG"/>
        </w:rPr>
      </w:pP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Verdana" w:hAnsi="Consolas" w:cs="Consolas"/>
          <w:sz w:val="24"/>
          <w:szCs w:val="24"/>
          <w:lang w:eastAsia="bg-BG"/>
        </w:rPr>
      </w:pPr>
      <w:r w:rsidRPr="00B0221E">
        <w:rPr>
          <w:rFonts w:ascii="Consolas" w:eastAsia="Verdana" w:hAnsi="Consolas" w:cs="Consolas"/>
          <w:sz w:val="24"/>
          <w:szCs w:val="24"/>
          <w:lang w:eastAsia="bg-BG"/>
        </w:rPr>
        <w:t xml:space="preserve">Събитията следва да бъдат организирани при стриктно спазване на изискванията на Оперативна програма „Административен капацитет“ 2007-2013 г. Всички документи за отчитане на изпълнението на обученията следва да се изработват съгласно изискванията за визуална идентичност на същата програма. Всяко обучение е задължително бъде </w:t>
      </w:r>
      <w:r w:rsidRPr="00B0221E">
        <w:rPr>
          <w:rFonts w:ascii="Consolas" w:eastAsia="Verdana" w:hAnsi="Consolas" w:cs="Consolas"/>
          <w:sz w:val="24"/>
          <w:szCs w:val="24"/>
          <w:lang w:eastAsia="bg-BG"/>
        </w:rPr>
        <w:lastRenderedPageBreak/>
        <w:t>документално осигурено в индивидуално досие, което се предоставя на Възложителя преди одобряването на работата по съответното обучение.</w:t>
      </w: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Verdana" w:hAnsi="Consolas" w:cs="Consolas"/>
          <w:sz w:val="24"/>
          <w:szCs w:val="24"/>
          <w:lang w:eastAsia="bg-BG"/>
        </w:rPr>
      </w:pPr>
      <w:r w:rsidRPr="00B0221E">
        <w:rPr>
          <w:rFonts w:ascii="Consolas" w:eastAsia="Verdana" w:hAnsi="Consolas" w:cs="Consolas"/>
          <w:sz w:val="24"/>
          <w:szCs w:val="24"/>
          <w:lang w:eastAsia="bg-BG"/>
        </w:rPr>
        <w:t xml:space="preserve">Участниците трябва да предложат в ценовото си предложение единична цена на човек, която да </w:t>
      </w:r>
      <w:r w:rsidRPr="00B0221E">
        <w:rPr>
          <w:rFonts w:ascii="Consolas" w:eastAsia="Times New Roman" w:hAnsi="Consolas" w:cs="Consolas"/>
          <w:sz w:val="24"/>
          <w:szCs w:val="24"/>
          <w:lang w:eastAsia="bg-BG"/>
        </w:rPr>
        <w:t xml:space="preserve">е за </w:t>
      </w:r>
      <w:r w:rsidRPr="00B0221E">
        <w:rPr>
          <w:rFonts w:ascii="Consolas" w:eastAsia="Times New Roman" w:hAnsi="Consolas" w:cs="Consolas"/>
          <w:b/>
          <w:sz w:val="24"/>
          <w:szCs w:val="24"/>
          <w:lang w:eastAsia="bg-BG"/>
        </w:rPr>
        <w:t>цялостното извършване на услугата</w:t>
      </w:r>
      <w:r w:rsidRPr="00B0221E">
        <w:rPr>
          <w:rFonts w:ascii="Consolas" w:eastAsia="Times New Roman" w:hAnsi="Consolas" w:cs="Consolas"/>
          <w:sz w:val="24"/>
          <w:szCs w:val="24"/>
          <w:lang w:eastAsia="bg-BG"/>
        </w:rPr>
        <w:t xml:space="preserve"> и да включва всички разходи на организатора – лекционна такса, разходи за обучителни материали и др. материали от сходен характер и разходи за наем и/или ползване на зала/и с подходящо оборудване, както и разходите за настаняване, храна, кафе-паузи и транспорт с включена застраховка.</w:t>
      </w: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Verdana" w:hAnsi="Consolas" w:cs="Consolas"/>
          <w:b/>
          <w:sz w:val="24"/>
          <w:szCs w:val="24"/>
          <w:u w:val="single"/>
          <w:lang w:eastAsia="bg-BG"/>
        </w:rPr>
      </w:pPr>
      <w:r w:rsidRPr="00B0221E">
        <w:rPr>
          <w:rFonts w:ascii="Consolas" w:eastAsia="Verdana" w:hAnsi="Consolas" w:cs="Consolas"/>
          <w:b/>
          <w:sz w:val="24"/>
          <w:szCs w:val="24"/>
          <w:u w:val="single"/>
          <w:lang w:eastAsia="bg-BG"/>
        </w:rPr>
        <w:t>Общи изисквания</w:t>
      </w: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Verdana" w:hAnsi="Consolas" w:cs="Consolas"/>
          <w:sz w:val="24"/>
          <w:szCs w:val="24"/>
          <w:lang w:eastAsia="bg-BG"/>
        </w:rPr>
      </w:pPr>
      <w:r w:rsidRPr="00B0221E">
        <w:rPr>
          <w:rFonts w:ascii="Consolas" w:eastAsia="Verdana" w:hAnsi="Consolas" w:cs="Consolas"/>
          <w:sz w:val="24"/>
          <w:szCs w:val="24"/>
          <w:lang w:eastAsia="bg-BG"/>
        </w:rPr>
        <w:t>Изпълнителят трябва да спазва изискванията за публичност, съгласно Регламента на Съвета (ЕО) № 1083/2006 г., Регламента на Комисията (ЕО) № 1828/2006 г., Задълженията на бенефициентите за осигуряване на информация и публичност по ОПАК (което ще бъде достъпно на сайта на възложителя) и да включва във всички документи следното съдържание:</w:t>
      </w: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Verdana" w:hAnsi="Consolas" w:cs="Consolas"/>
          <w:sz w:val="24"/>
          <w:szCs w:val="24"/>
          <w:lang w:eastAsia="bg-BG"/>
        </w:rPr>
      </w:pP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Times New Roman" w:hAnsi="Consolas" w:cs="Consolas"/>
          <w:snapToGrid w:val="0"/>
          <w:sz w:val="24"/>
          <w:szCs w:val="24"/>
        </w:rPr>
      </w:pPr>
      <w:r w:rsidRPr="00B0221E">
        <w:rPr>
          <w:rFonts w:ascii="Consolas" w:eastAsia="Times New Roman" w:hAnsi="Consolas" w:cs="Consolas"/>
          <w:i/>
          <w:snapToGrid w:val="0"/>
          <w:sz w:val="24"/>
          <w:szCs w:val="24"/>
        </w:rPr>
        <w:t>Този документ е създаден в рамките на проект „Община Русе – интелигентна и ефективна държавна администрация“ в изпълнение на договор № М 13-22-140/05.08.2014 г., който се осъществява с финансовата подкрепа на Оперативна програма „Административен капацитет“ 2007-2013 г., съфинансирана от Европейския съюз чрез Европейския социален фонд.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 орган.</w:t>
      </w: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Times New Roman" w:hAnsi="Consolas" w:cs="Consolas"/>
          <w:snapToGrid w:val="0"/>
          <w:sz w:val="24"/>
          <w:szCs w:val="24"/>
        </w:rPr>
      </w:pP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Verdana" w:hAnsi="Consolas" w:cs="Consolas"/>
          <w:sz w:val="24"/>
          <w:szCs w:val="24"/>
          <w:lang w:eastAsia="bg-BG"/>
        </w:rPr>
      </w:pPr>
      <w:r w:rsidRPr="00B0221E">
        <w:rPr>
          <w:rFonts w:ascii="Consolas" w:eastAsia="Verdana" w:hAnsi="Consolas" w:cs="Consolas"/>
          <w:sz w:val="24"/>
          <w:szCs w:val="24"/>
          <w:lang w:eastAsia="bg-BG"/>
        </w:rPr>
        <w:t>Всички документи, изготвени от изпълнителя, вкл. обучителните материали, свързани с изпълнението на обществената поръчка, следва да бъдат подготвени в съответствие с изискванията на Задълженията на бенефициентите за осигуряване на информация и публичност по ОПАК.</w:t>
      </w:r>
    </w:p>
    <w:p w:rsidR="00B0221E" w:rsidRPr="00B0221E" w:rsidRDefault="00B0221E" w:rsidP="00B0221E">
      <w:pPr>
        <w:spacing w:after="120"/>
        <w:ind w:firstLine="709"/>
        <w:jc w:val="both"/>
        <w:rPr>
          <w:rFonts w:ascii="Consolas" w:eastAsia="Times New Roman" w:hAnsi="Consolas" w:cs="Consolas"/>
          <w:sz w:val="24"/>
          <w:szCs w:val="24"/>
          <w:lang w:eastAsia="bg-BG"/>
        </w:rPr>
      </w:pPr>
      <w:r w:rsidRPr="00B0221E">
        <w:rPr>
          <w:rFonts w:ascii="Consolas" w:eastAsia="Times New Roman" w:hAnsi="Consolas" w:cs="Consolas"/>
          <w:sz w:val="24"/>
          <w:szCs w:val="24"/>
          <w:lang w:eastAsia="bg-BG"/>
        </w:rPr>
        <w:t>За всяка от обособените позиции участниците следва да представят</w:t>
      </w:r>
      <w:r w:rsidRPr="00B0221E">
        <w:rPr>
          <w:rFonts w:ascii="Consolas" w:eastAsia="Times New Roman" w:hAnsi="Consolas" w:cs="Consolas"/>
          <w:b/>
          <w:sz w:val="24"/>
          <w:szCs w:val="24"/>
          <w:lang w:eastAsia="bg-BG"/>
        </w:rPr>
        <w:t xml:space="preserve"> </w:t>
      </w:r>
      <w:r w:rsidRPr="00B0221E">
        <w:rPr>
          <w:rFonts w:ascii="Consolas" w:eastAsia="Times New Roman" w:hAnsi="Consolas" w:cs="Consolas"/>
          <w:sz w:val="24"/>
          <w:szCs w:val="24"/>
          <w:lang w:val="ru-RU" w:eastAsia="bg-BG"/>
        </w:rPr>
        <w:t xml:space="preserve">методология за провеждане на обученията и </w:t>
      </w:r>
      <w:r w:rsidRPr="00B0221E">
        <w:rPr>
          <w:rFonts w:ascii="Consolas" w:eastAsia="Times New Roman" w:hAnsi="Consolas" w:cs="Consolas"/>
          <w:sz w:val="24"/>
          <w:szCs w:val="24"/>
          <w:lang w:eastAsia="bg-BG"/>
        </w:rPr>
        <w:t>методите за управление и контрол на дейностите, които са показатели за оценка.</w:t>
      </w:r>
    </w:p>
    <w:p w:rsidR="00CC6216" w:rsidRDefault="00CC6216"/>
    <w:sectPr w:rsidR="00CC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7FB6"/>
    <w:multiLevelType w:val="hybridMultilevel"/>
    <w:tmpl w:val="79145E8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4"/>
    <w:rsid w:val="00025924"/>
    <w:rsid w:val="0032290C"/>
    <w:rsid w:val="00750312"/>
    <w:rsid w:val="00944C41"/>
    <w:rsid w:val="00B0221E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2015-05-13T06:23:00Z</dcterms:created>
  <dcterms:modified xsi:type="dcterms:W3CDTF">2015-05-13T06:23:00Z</dcterms:modified>
</cp:coreProperties>
</file>